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i/>
          <w:iCs/>
          <w:sz w:val="20"/>
          <w:szCs w:val="20"/>
        </w:rPr>
        <w:t xml:space="preserve">	Confidencial</w:t>
      </w:r>
    </w:p>
    <w:p>
      <w:pPr>
        <w:spacing w:after="60"/>
      </w:pPr>
      <w:r>
        <w:rPr>
          <w:b/>
          <w:bCs/>
          <w:sz w:val="32"/>
          <w:szCs w:val="32"/>
        </w:rPr>
        <w:t xml:space="preserve">Términos y Condiciones del Torneo</w:t>
      </w:r>
    </w:p>
    <w:p>
      <w:pPr>
        <w:spacing w:after="240"/>
      </w:pPr>
      <w:r>
        <w:rPr>
          <w:i/>
          <w:iCs/>
          <w:sz w:val="24"/>
          <w:szCs w:val="24"/>
        </w:rPr>
        <w:t xml:space="preserve">Poker Kralı — Turquía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50"/>
      </w:tblGrid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Nombre del torneo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Región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Turquía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Juego elegible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Russian Poker (único)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Duración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6 de julio – 4 de agosto de 2026 (30 días)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Bolsa de premios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Bolsa de premios en efectivo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Total de ganadores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Apuesta mínima clasificatoria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0.10 por ronda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Cuota mínima clasificatoria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Límite máximo de rondas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5.400 rondas en total</w:t>
            </w:r>
          </w:p>
        </w:tc>
      </w:tr>
    </w:tbl>
    <w:p>
      <w:pPr>
        <w:spacing w:after="120" w:before="300"/>
      </w:pPr>
      <w:r>
        <w:rPr>
          <w:b/>
          <w:bCs/>
          <w:sz w:val="24"/>
          <w:szCs w:val="24"/>
        </w:rPr>
        <w:t xml:space="preserve">1. Descripción General de la Promoción</w:t>
      </w:r>
    </w:p>
    <w:p>
      <w:pPr>
        <w:spacing w:after="120"/>
      </w:pPr>
      <w:r>
        <w:rPr>
          <w:sz w:val="21"/>
          <w:szCs w:val="21"/>
        </w:rPr>
        <w:t xml:space="preserve">El "Poker Kralı" es un torneo de casino en vivo de 30 días organizado por CreedRoomz, que se desarrolla del 6 de julio de 2026 al 4 de agosto de 2026. El torneo está abierto a todos los jugadores elegibles de los operadores asociados que participan en la región de Turquía.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2. Participación y Elegibilidad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Todos los jugadores de operadores asociados elegibles se inscriben automáticamente en el torneo al realizar una apuesta clasificatoria.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Juego elegible: Russian Poker (único)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Apuesta mínima clasificatoria: 0.10 por ronda.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Cuota mínima clasificatoria: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Límite máximo de rondas: 5.400 rondas en total por jugador durante toda la duración del torneo.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Los jugadores deben lograr al menos una victoria para aparecer en la tabla de clasificación.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La participación está sujeta a la existencia de un acuerdo activo entre el operador del jugador y CreedRoomz durante el período correspondiente del torneo.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3. Bolsa de Premios y Distribución</w:t>
      </w:r>
    </w:p>
    <w:p>
      <w:pPr>
        <w:spacing w:after="120"/>
      </w:pPr>
      <w:r>
        <w:rPr>
          <w:sz w:val="21"/>
          <w:szCs w:val="21"/>
        </w:rPr>
        <w:t xml:space="preserve">Al finalizar el torneo el 4 de agosto de 2026, se distribuirá una bolsa de premios en efectivo entre los 200 mejores jugadores clasificados. Los premios se otorgan según la posición final en la tabla de clasificación.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4. Términos Generales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Esta promoción está sujeta a disponibilidad y puede ser modificada o cancelada a discreción de CreedRoomz.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Los premios no son transferibles y no pueden canjearse por otras recompensas o su equivalente en efectivo fuera del proceso de pago estándar.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se reserva el derecho de descalificar a cualquier jugador o anular sus ganancias si se detecta actividad fraudulenta, colusión o incumplimiento de estos términos.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El uso de software automatizado, bots o cualquier forma de juego mediante scripts está estrictamente prohibido y dará lugar a la descalificación inmediata.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En caso de empate en la tabla de clasificación, tendrá mayor posición el jugador que haya alcanzado dicho resultado primero (según la marca de tiempo de la ronda clasificatoria).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Las decisiones de CreedRoomz respecto a la clasificación del torneo, la elegibilidad de premios y la descalificación son finales y vinculantes.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La promoción cumple con los requisitos regulatorios aplicables en la jurisdicción correspondiente. Los operadores asociados son responsables de garantizar que sus jugadores cumplan con las leyes locales.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CreedRoomz cubre en su totalidad el costo de la bolsa de premios de esta promoción.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5. Aceptación de los Términos</w:t>
      </w:r>
    </w:p>
    <w:p>
      <w:pPr>
        <w:spacing w:after="120"/>
      </w:pPr>
      <w:r>
        <w:rPr>
          <w:sz w:val="21"/>
          <w:szCs w:val="21"/>
        </w:rPr>
        <w:t xml:space="preserve">Al participar en este torneo, los jugadores reconocen haber leído, comprendido y aceptado en su totalidad estos Términos y Condiciones. La continuación de la participación constituye una aceptación completa.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© CreedRoomz — Confidencial. Solo para distribución entre socios.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2026-07-03T13:26:08.023Z</dcterms:created>
  <dcterms:modified xsi:type="dcterms:W3CDTF">2026-07-03T13:26:08.023Z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